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Estimate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11827"/>
                <w:sz w:val="20"/>
                <w:szCs w:val="20"/>
              </w:rPr>
              <w:t xml:space="preserve">LVP flooring, main floor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Remove carpet and pad on the main floor, prep and level the subfloor where needed, install luxury vinyl plank with 10% waste included, and install new quarter round at all baseboards.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Remove and dispose existing carpet and pad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sq ft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Floor prep and leveling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Luxury vinyl plank, material incl. 10% waste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sq ft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Install LVP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sq ft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Baseboard and quarter round, install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ln ft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C2410C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2410C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2410C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2410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Stair treads, LVP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Moving furniture and appliances, subfloor replacement, door trimming beyond 4 doors, stairs (offered as an option).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This estimate is based on the scope described above and is valid until the date shown. Work outside this scope will be quoted as a written change order before it starts. Payment: deposit on acceptance, balance due on completion.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C2410C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estimate,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Estimate Templates</dc:creator>
  <cp:lastModifiedBy>Un-named</cp:lastModifiedBy>
  <cp:revision>1</cp:revision>
  <dcterms:created xsi:type="dcterms:W3CDTF">2026-10-13T12:06:57.898Z</dcterms:created>
  <dcterms:modified xsi:type="dcterms:W3CDTF">2026-10-13T12:06:57.898Z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