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52"/>
                <w:szCs w:val="52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Estimate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11827"/>
                <w:sz w:val="20"/>
                <w:szCs w:val="20"/>
              </w:rPr>
              <w:t xml:space="preserve">Kitchen wall removal and drywall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Remove the non-load-bearing wall between kitchen and dining room, frame a header opening, hang and finish new drywall to level 4, and leave the area broom clean ready for paint. Site protection with plastic sheeting and floor runners throughout.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Demolition: remove non-load-bearing wall, haul debris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Framing labor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hrs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Drywall hang, tape, finish (level 4)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sq ft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Materials: lumber, drywall, fasteners, joint compound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Permit and inspection fees (at cost)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Paint repaired walls, 2 coats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Electrical or plumbing relocation inside the wall, structural engineering, painting (offered as an option), flooring repair under the old wall line.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This estimate is based on the scope described above and is valid until the date shown. Work outside this scope will be quoted as a written change order before it starts. Payment: deposit on acceptance, balance due on completion.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estimate,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Estimate Templates</dc:creator>
  <cp:lastModifiedBy>Un-named</cp:lastModifiedBy>
  <cp:revision>1</cp:revision>
  <dcterms:created xsi:type="dcterms:W3CDTF">2026-10-13T12:06:57.323Z</dcterms:created>
  <dcterms:modified xsi:type="dcterms:W3CDTF">2026-10-13T12:06:57.323Z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